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8.png" ContentType="image/png"/>
  <Override PartName="/word/media/rId41.png" ContentType="image/png"/>
  <Override PartName="/word/media/rId30.png" ContentType="image/png"/>
  <Override PartName="/word/media/rId38.png" ContentType="image/png"/>
  <Override PartName="/word/media/rId82.png" ContentType="image/png"/>
  <Override PartName="/word/media/rId149.png" ContentType="image/png"/>
  <Override PartName="/word/media/rId71.png" ContentType="image/png"/>
  <Override PartName="/word/media/rId66.png" ContentType="image/png"/>
  <Override PartName="/word/media/rId68.png" ContentType="image/png"/>
  <Override PartName="/word/media/rId144.png" ContentType="image/png"/>
  <Override PartName="/word/media/rId143.png" ContentType="image/png"/>
  <Override PartName="/word/media/rId64.png" ContentType="image/png"/>
  <Override PartName="/word/media/rId69.png" ContentType="image/png"/>
  <Override PartName="/word/media/rId90.png" ContentType="image/png"/>
  <Override PartName="/word/media/rId94.png" ContentType="image/png"/>
  <Override PartName="/word/media/rId101.png" ContentType="image/png"/>
  <Override PartName="/word/media/rId103.png" ContentType="image/png"/>
  <Override PartName="/word/media/rId102.png" ContentType="image/png"/>
  <Override PartName="/word/media/rId99.png" ContentType="image/png"/>
  <Override PartName="/word/media/rId88.png" ContentType="image/png"/>
  <Override PartName="/word/media/rId93.png" ContentType="image/png"/>
  <Override PartName="/word/media/rId72.png" ContentType="image/png"/>
  <Override PartName="/word/media/rId92.png" ContentType="image/png"/>
  <Override PartName="/word/media/rId58.png" ContentType="image/png"/>
  <Override PartName="/word/media/rId59.png" ContentType="image/png"/>
  <Override PartName="/word/media/rId140.png" ContentType="image/png"/>
  <Override PartName="/word/media/rId139.png" ContentType="image/png"/>
  <Override PartName="/word/media/rId137.png" ContentType="image/png"/>
  <Override PartName="/word/media/rId136.png" ContentType="image/png"/>
  <Override PartName="/word/media/rId61.png" ContentType="image/png"/>
  <Override PartName="/word/media/rId54.png" ContentType="image/png"/>
  <Override PartName="/word/media/rId131.png" ContentType="image/png"/>
  <Override PartName="/word/media/rId133.png" ContentType="image/png"/>
  <Override PartName="/word/media/rId134.png" ContentType="image/png"/>
  <Override PartName="/word/media/rId97.png" ContentType="image/png"/>
  <Override PartName="/word/media/rId128.png" ContentType="image/png"/>
  <Override PartName="/word/media/rId127.png" ContentType="image/png"/>
  <Override PartName="/word/media/rId105.png" ContentType="image/png"/>
  <Override PartName="/word/media/rId125.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watershed-processes-and-water-quality"/>
      <w:r>
        <w:t xml:space="preserve">Watershed processes and water quality</w:t>
      </w:r>
      <w:bookmarkEnd w:id="28"/>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5" w:name="surface-water-sampling-strategies"/>
      <w:r>
        <w:t xml:space="preserve">Surface water sampling strategies</w:t>
      </w:r>
      <w:bookmarkEnd w:id="35"/>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6" w:name="methods"/>
      <w:r>
        <w:t xml:space="preserve">Methods</w:t>
      </w:r>
      <w:bookmarkEnd w:id="36"/>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7" w:name="sampling-sites"/>
      <w:r>
        <w:t xml:space="preserve">Sampling sites</w:t>
      </w:r>
      <w:bookmarkEnd w:id="37"/>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8"/>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9" w:name="synoptic-sampling"/>
      <w:r>
        <w:t xml:space="preserve">Synoptic sampling</w:t>
      </w:r>
      <w:bookmarkEnd w:id="39"/>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40" w:name="monitoring-sampling-stations"/>
      <w:r>
        <w:t xml:space="preserve">Monitoring &amp; sampling stations</w:t>
      </w:r>
      <w:bookmarkEnd w:id="40"/>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2" w:name="siphon-sampler-assumptions"/>
      <w:r>
        <w:t xml:space="preserve">Siphon sampler assumptions</w:t>
      </w:r>
      <w:bookmarkEnd w:id="42"/>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3" w:name="sampling-rack-hold-time-experiments"/>
      <w:r>
        <w:t xml:space="preserve">Sampling rack hold-time experiments</w:t>
      </w:r>
      <w:bookmarkEnd w:id="43"/>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4" w:name="laboratory-analyses-of-water-samples"/>
      <w:r>
        <w:t xml:space="preserve">Laboratory analyses of water samples</w:t>
      </w:r>
      <w:bookmarkEnd w:id="44"/>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5" w:name="quantifying-doc-dissolved-organic-carbon"/>
      <w:r>
        <w:t xml:space="preserve">Quantifying DOC (dissolved organic carbon)</w:t>
      </w:r>
      <w:bookmarkEnd w:id="45"/>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6" w:name="sample-preparation"/>
      <w:r>
        <w:t xml:space="preserve">Sample preparation</w:t>
      </w:r>
      <w:bookmarkEnd w:id="46"/>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7" w:name="instrumental-analysis"/>
      <w:r>
        <w:t xml:space="preserve">Instrumental analysis</w:t>
      </w:r>
      <w:bookmarkEnd w:id="47"/>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8" w:name="X7e9e3c08bf23e8477697b7359078143289e45ae"/>
      <w:r>
        <w:t xml:space="preserve">Characterization of NOM (natural organic matter)</w:t>
      </w:r>
      <w:bookmarkEnd w:id="48"/>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9" w:name="sample-analysis"/>
      <w:r>
        <w:t xml:space="preserve">Sample analysis</w:t>
      </w:r>
      <w:bookmarkEnd w:id="49"/>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50" w:name="instrument-and-data-handling"/>
      <w:r>
        <w:t xml:space="preserve">Instrument and data handling</w:t>
      </w:r>
      <w:bookmarkEnd w:id="50"/>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1" w:name="suva254-specific-ultraviolet-absorbance"/>
      <w:r>
        <w:t xml:space="preserve">SUVA</w:t>
      </w:r>
      <w:r>
        <w:rPr>
          <w:vertAlign w:val="subscript"/>
        </w:rPr>
        <w:t xml:space="preserve">254</w:t>
      </w:r>
      <w:r>
        <w:t xml:space="preserve"> </w:t>
      </w:r>
      <w:r>
        <w:t xml:space="preserve">(specific ultraviolet absorbance)</w:t>
      </w:r>
      <w:bookmarkEnd w:id="51"/>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2"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2"/>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4587290" cy="3669832"/>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5" w:name="defining-seasons"/>
      <w:r>
        <w:t xml:space="preserve">Defining seasons</w:t>
      </w:r>
      <w:bookmarkEnd w:id="55"/>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BodyText"/>
      </w:pPr>
      <w:r>
        <w:t xml:space="preserve"> </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60" w:name="seasonal-delineation"/>
      <w:r>
        <w:t xml:space="preserve">Seasonal delineation</w:t>
      </w:r>
      <w:bookmarkEnd w:id="60"/>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2" w:name="spatial-patterns-in-doc-nom"/>
      <w:r>
        <w:t xml:space="preserve">Spatial patterns in DOC &amp; NOM</w:t>
      </w:r>
      <w:bookmarkEnd w:id="62"/>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3" w:name="X4a2bd2cd20dd488c4cd0deb9ac5acc52cd50d31"/>
      <w:r>
        <w:t xml:space="preserve">Cross-basin &amp; upstream/downstream DOC comparison</w:t>
      </w:r>
      <w:bookmarkEnd w:id="63"/>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7: Spectral properties of natural organic matter (NOM) character across twelve synoptically sampled river sites"/>
      </w:tblPr>
      <w:tblGrid>
        <w:gridCol w:w="513"/>
        <w:gridCol w:w="1926"/>
        <w:gridCol w:w="256"/>
        <w:gridCol w:w="941"/>
        <w:gridCol w:w="299"/>
        <w:gridCol w:w="941"/>
        <w:gridCol w:w="941"/>
        <w:gridCol w:w="599"/>
        <w:gridCol w:w="299"/>
        <w:gridCol w:w="599"/>
        <w:gridCol w:w="5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0.2</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Heading5"/>
      </w:pPr>
      <w:bookmarkStart w:id="65" w:name="X6f02a84076d04ad3e84a7736e8ff8c1aed8ed02"/>
      <w:r>
        <w:t xml:space="preserve">Nested catchments, DOC and sample-type comparison</w:t>
      </w:r>
      <w:bookmarkEnd w:id="6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5000.0"/>
        <w:tblLook w:firstRow="1"/>
        <w:tblCaption w:val="Table 8: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Wet season DOC by sample collection method at the six monitoring sites</w:t>
      </w:r>
    </w:p>
    <w:tbl>
      <w:tblPr>
        <w:tblStyle w:val="Table"/>
        <w:tblW w:type="pct" w:w="0.0"/>
        <w:tblLook w:firstRow="1"/>
        <w:tblCaption w:val="Table 9: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9</w:t>
      </w:r>
      <w:r>
        <w:t xml:space="preserv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BodyText"/>
      </w:pPr>
      <w:r>
        <w:t xml:space="preserve"> </w:t>
      </w:r>
    </w:p>
    <w:p>
      <w:pPr>
        <w:pStyle w:val="Heading3"/>
      </w:pPr>
      <w:bookmarkStart w:id="73" w:name="discussion"/>
      <w:r>
        <w:t xml:space="preserve">Discussion</w:t>
      </w:r>
      <w:bookmarkEnd w:id="73"/>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pStyle w:val="Compact"/>
        <w:numPr>
          <w:numId w:val="1002"/>
          <w:ilvl w:val="0"/>
        </w:numPr>
      </w:pPr>
      <w:r>
        <w:t xml:space="preserve">DOC scaling from upstream to down stream – comparable to JimButtle Turkey Lakes studies</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5" w:name="Xe223e1b91300fb2894112fb7fc077dfa6b55746"/>
      <w:r>
        <w:t xml:space="preserve">Leech monitoring sites and hydro-dynamics</w:t>
      </w:r>
      <w:bookmarkEnd w:id="75"/>
    </w:p>
    <w:p>
      <w:pPr>
        <w:pStyle w:val="Heading3"/>
      </w:pPr>
      <w:bookmarkStart w:id="76" w:name="introduction"/>
      <w:r>
        <w:t xml:space="preserve">Introduction</w:t>
      </w:r>
      <w:bookmarkEnd w:id="76"/>
    </w:p>
    <w:p>
      <w:pPr>
        <w:pStyle w:val="FirstParagraph"/>
      </w:pPr>
      <w:r>
        <w:t xml:space="preserve"> </w:t>
      </w:r>
    </w:p>
    <w:p>
      <w:pPr>
        <w:pStyle w:val="BodyText"/>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78" w:name="random-forests"/>
      <w:r>
        <w:t xml:space="preserve">Random Forests</w:t>
      </w:r>
      <w:bookmarkEnd w:id="78"/>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79" w:name="methods"/>
      <w:r>
        <w:t xml:space="preserve">Methods</w:t>
      </w:r>
      <w:bookmarkEnd w:id="79"/>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0" w:name="leech-river-watershed"/>
      <w:r>
        <w:t xml:space="preserve">Leech River Watershed</w:t>
      </w:r>
      <w:bookmarkEnd w:id="8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14</w:t>
      </w:r>
      <w:r>
        <w:t xml:space="preserve">).</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Standard Grab samples were collected manually between storm events and during dry season baseflow.</w:t>
      </w:r>
    </w:p>
    <w:p>
      <w:pPr>
        <w:pStyle w:val="BodyText"/>
      </w:pPr>
      <w:r>
        <w:t xml:space="preserve"> </w:t>
      </w:r>
    </w:p>
    <w:p>
      <w:pPr>
        <w:pStyle w:val="BodyText"/>
      </w:pPr>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 out insights about relative hydrologic pulse responses across nested catchments.</w:t>
      </w:r>
    </w:p>
    <w:p>
      <w:pPr>
        <w:pStyle w:val="BodyText"/>
      </w:pPr>
      <w:r>
        <w:t xml:space="preserve"> </w:t>
      </w:r>
    </w:p>
    <w:p>
      <w:pPr>
        <w:pStyle w:val="Heading4"/>
      </w:pPr>
      <w:bookmarkStart w:id="83" w:name="sample-analysis"/>
      <w:r>
        <w:t xml:space="preserve">Sample analysis</w:t>
      </w:r>
      <w:bookmarkEnd w:id="83"/>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Additional details can be found in Chapter 2.</w:t>
      </w:r>
    </w:p>
    <w:p>
      <w:pPr>
        <w:pStyle w:val="BodyText"/>
      </w:pPr>
      <w:r>
        <w:t xml:space="preserve"> </w:t>
      </w:r>
    </w:p>
    <w:p>
      <w:pPr>
        <w:pStyle w:val="Heading4"/>
      </w:pPr>
      <w:bookmarkStart w:id="84" w:name="defining-rain-events-and-seasons"/>
      <w:r>
        <w:t xml:space="preserve">Defining rain events and seasons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included:</w:t>
      </w:r>
      <w:r>
        <w:t xml:space="preserve"> </w:t>
      </w:r>
      <w:r>
        <w:t xml:space="preserve">* antecedent 7 day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6" w:name="results"/>
      <w:r>
        <w:t xml:space="preserve">Results</w:t>
      </w:r>
      <w:bookmarkEnd w:id="86"/>
    </w:p>
    <w:p>
      <w:pPr>
        <w:pStyle w:val="Heading4"/>
      </w:pPr>
      <w:bookmarkStart w:id="87" w:name="rain-events-and-sampling"/>
      <w:r>
        <w:t xml:space="preserve">Rain events and sampling</w:t>
      </w:r>
      <w:bookmarkEnd w:id="8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The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river response at each monitoring site, which was primarily based on the presence or absence of major rain events and included a period of snowmelt late in the 2018/2019 wet season (Figure</w:t>
      </w:r>
      <w:r>
        <w:t xml:space="preserve"> </w:t>
      </w:r>
      <w:r>
        <w:t xml:space="preserve">16</w:t>
      </w:r>
      <w:r>
        <w:t xml:space="preserve">). The 2018/2019 wet season extended from the start of the project (October 2018) to mid-May 2019, where the period from late January (event 8, Table</w:t>
      </w:r>
      <w:r>
        <w:t xml:space="preserve"> </w:t>
      </w:r>
      <w:r>
        <w:t xml:space="preserve">11</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11</w:t>
      </w:r>
      <w:r>
        <w:t xml:space="preserve">)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16</w:t>
      </w:r>
      <w:r>
        <w:t xml:space="preserve">).</w:t>
      </w:r>
    </w:p>
    <w:p>
      <w:pPr>
        <w:pStyle w:val="BodyText"/>
      </w:pPr>
      <w:r>
        <w:t xml:space="preserve"> </w:t>
      </w:r>
    </w:p>
    <w:p>
      <w:pPr>
        <w:pStyle w:val="CaptionedFigure"/>
      </w:pPr>
      <w:r>
        <w:drawing>
          <wp:inline>
            <wp:extent cx="5504749" cy="6422207"/>
            <wp:effectExtent b="0" l="0" r="0" t="0"/>
            <wp:docPr descr="Figure 16: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11</w:t>
      </w:r>
      <w:r>
        <w:t xml:space="preserve">)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easonal-patterns-in-doc-nom"/>
      <w:r>
        <w:t xml:space="preserve">Seasonal patterns in DOC &amp; NOM</w:t>
      </w:r>
      <w:bookmarkEnd w:id="91"/>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18</w:t>
      </w:r>
      <w:r>
        <w:t xml:space="preserve">).</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669832"/>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14:</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4: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15</w:t>
      </w:r>
      <w:r>
        <w:t xml:space="preserve">). Despite seasonal sample count differences, interesting spatial differences emerged when sample results were grouped by season (Figure</w:t>
      </w:r>
      <w:r>
        <w:t xml:space="preserve"> </w:t>
      </w:r>
      <w:r>
        <w:t xml:space="preserve">20</w:t>
      </w:r>
      <w:r>
        <w:t xml:space="preserve">). NOM molecular character was judged through a combination of specific UV-absorbance at 254 nm (SAC</w:t>
      </w:r>
      <w:r>
        <w:rPr>
          <w:vertAlign w:val="subscript"/>
        </w:rPr>
        <w:t xml:space="preserve">254</w:t>
      </w:r>
      <w:r>
        <w:t xml:space="preserve">, an indicator of chromophoric NOM) and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The quotient E</w:t>
      </w:r>
      <w:r>
        <w:rPr>
          <w:vertAlign w:val="subscript"/>
        </w:rPr>
        <w:t xml:space="preserve">2</w:t>
      </w:r>
      <w:r>
        <w:t xml:space="preserve">:E</w:t>
      </w:r>
      <w:r>
        <w:rPr>
          <w:vertAlign w:val="subscript"/>
        </w:rPr>
        <w:t xml:space="preserve">3</w:t>
      </w:r>
      <w:r>
        <w:t xml:space="preserve"> </w:t>
      </w:r>
      <w:r>
        <w:t xml:space="preserve">(unitless) is inversely proportional to aromaticity and/or molecular weight of aqueous NOM.</w:t>
      </w:r>
    </w:p>
    <w:p>
      <w:pPr>
        <w:pStyle w:val="BodyText"/>
      </w:pPr>
      <w:r>
        <w:t xml:space="preserve"> </w:t>
      </w:r>
    </w:p>
    <w:p>
      <w:pPr>
        <w:pStyle w:val="TableCaption"/>
      </w:pPr>
      <w:r>
        <w:t xml:space="preserve">Table 15:</w:t>
      </w:r>
      <w:r>
        <w:t xml:space="preserve"> </w:t>
      </w:r>
      <w:r>
        <w:rPr>
          <w:i/>
        </w:rPr>
        <w:t xml:space="preserve">Seasonal comparison of sample results by monitoring site</w:t>
      </w:r>
    </w:p>
    <w:tbl>
      <w:tblPr>
        <w:tblStyle w:val="Table"/>
        <w:tblW w:type="pct" w:w="5000.0"/>
        <w:tblLook w:firstRow="1"/>
        <w:tblCaption w:val="Table 15: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20: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20</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Heading4"/>
      </w:pPr>
      <w:bookmarkStart w:id="95" w:name="rising-stage-and-nom-dynamics"/>
      <w:r>
        <w:t xml:space="preserve">Rising stage and NOM dynamics</w:t>
      </w:r>
      <w:bookmarkEnd w:id="95"/>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16:</w:t>
      </w:r>
      <w:r>
        <w:t xml:space="preserve"> </w:t>
      </w:r>
      <w:r>
        <w:rPr>
          <w:i/>
        </w:rPr>
        <w:t xml:space="preserve">Summary of stream response to precipitation events across the LWSA.</w:t>
      </w:r>
    </w:p>
    <w:tbl>
      <w:tblPr>
        <w:tblStyle w:val="Table"/>
        <w:tblW w:type="pct" w:w="5000.0"/>
        <w:tblLook w:firstRow="1"/>
        <w:tblCaption w:val="Table 16: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6" w:name="Xc2630683f9dc53106c8f6f2575ed377c9a57537"/>
      <w:r>
        <w:t xml:space="preserve">Spatiotemporal synchrony in local extrema: river stage and DOC</w:t>
      </w:r>
      <w:bookmarkEnd w:id="96"/>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17</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17:</w:t>
      </w:r>
      <w:r>
        <w:t xml:space="preserve"> </w:t>
      </w:r>
      <w:r>
        <w:rPr>
          <w:i/>
        </w:rPr>
        <w:t xml:space="preserve">Proportion of samples for which peak DOC was found in the highest sample stage.</w:t>
      </w:r>
    </w:p>
    <w:tbl>
      <w:tblPr>
        <w:tblStyle w:val="Table"/>
        <w:tblW w:type="pct" w:w="0.0"/>
        <w:tblLook w:firstRow="1"/>
        <w:tblCaption w:val="Table 17: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TableCaption"/>
      </w:pPr>
      <w:r>
        <w:t xml:space="preserve">Table 18:</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8: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8" w:name="river-stage-doc-nom"/>
      <w:r>
        <w:t xml:space="preserve">River stage, DOC &amp; NOM</w:t>
      </w:r>
      <w:bookmarkEnd w:id="98"/>
    </w:p>
    <w:p>
      <w:pPr>
        <w:pStyle w:val="FirstParagraph"/>
      </w:pPr>
      <w:r>
        <w:t xml:space="preserve">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22</w:t>
      </w:r>
      <w:r>
        <w:t xml:space="preserve">).</w:t>
      </w:r>
    </w:p>
    <w:p>
      <w:pPr>
        <w:pStyle w:val="BodyText"/>
      </w:pPr>
      <w:r>
        <w:t xml:space="preserve"> </w:t>
      </w:r>
    </w:p>
    <w:p>
      <w:pPr>
        <w:pStyle w:val="CaptionedFigure"/>
      </w:pPr>
      <w:r>
        <w:drawing>
          <wp:inline>
            <wp:extent cx="5504749" cy="6880936"/>
            <wp:effectExtent b="0" l="0" r="0" t="0"/>
            <wp:docPr descr="Figure 22: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9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100" w:name="random-forests-for-variable-importance-1"/>
      <w:r>
        <w:t xml:space="preserve">Random Forests for variable importance</w:t>
      </w:r>
      <w:bookmarkEnd w:id="100"/>
    </w:p>
    <w:p>
      <w:pPr>
        <w:pStyle w:val="FirstParagraph"/>
      </w:pPr>
      <w:r>
        <w:t xml:space="preserve">Watershed characteristics for each of the six monitoring sites (Figure</w:t>
      </w:r>
      <w:r>
        <w:t xml:space="preserve"> </w:t>
      </w:r>
      <w:r>
        <w:t xml:space="preserve">14</w:t>
      </w:r>
      <w:r>
        <w:t xml:space="preserve">, Table</w:t>
      </w:r>
      <w:r>
        <w:t xml:space="preserve"> </w:t>
      </w:r>
      <w:r>
        <w:t xml:space="preserve">10</w:t>
      </w:r>
      <w:r>
        <w:t xml:space="preserve">) were included with antecedent 7 day temperatures and antecedent 7 day rain, river stage and sampling season as possible predictor variables for DOC concentrations. The variable importance was assessed using the R package randomForest, the backbone of which is Breiman’s Random Forests (RF) algorithm</w:t>
      </w:r>
      <w:r>
        <w:t xml:space="preserve"> </w:t>
      </w:r>
      <w:r>
        <w:t xml:space="preserve">(Breiman</w:t>
      </w:r>
      <w:r>
        <w:t xml:space="preserve"> </w:t>
      </w:r>
      <w:hyperlink w:anchor="ref-Breiman2001">
        <w:r>
          <w:rPr>
            <w:rStyle w:val="Hyperlink"/>
          </w:rPr>
          <w:t xml:space="preserve">2001</w:t>
        </w:r>
      </w:hyperlink>
      <w:r>
        <w:t xml:space="preserve">)</w:t>
      </w:r>
      <w:r>
        <w:t xml:space="preserve">. parameters were filtered as much as possible to remove those that could cause spurious correlations (i.e. cross-correlated variables) and the RF variable importance measure (VIM) was evauated for the entire study period (Figure</w:t>
      </w:r>
      <w:r>
        <w:t xml:space="preserve"> </w:t>
      </w:r>
      <w:r>
        <w:t xml:space="preserve">23</w:t>
      </w:r>
      <w:r>
        <w:t xml:space="preserve">), dry season (Figure</w:t>
      </w:r>
      <w:r>
        <w:t xml:space="preserve"> </w:t>
      </w:r>
      <w:r>
        <w:t xml:space="preserve">25</w:t>
      </w:r>
      <w:r>
        <w:t xml:space="preserve">) and wet season (Figure</w:t>
      </w:r>
      <w:r>
        <w:t xml:space="preserve"> </w:t>
      </w:r>
      <w:r>
        <w:t xml:space="preserve">24</w:t>
      </w:r>
      <w:r>
        <w:t xml:space="preserve">).</w:t>
      </w:r>
    </w:p>
    <w:p>
      <w:pPr>
        <w:pStyle w:val="BodyText"/>
      </w:pPr>
      <w:r>
        <w:t xml:space="preserve"> </w:t>
      </w:r>
    </w:p>
    <w:p>
      <w:pPr>
        <w:pStyle w:val="CaptionedFigure"/>
      </w:pPr>
      <w:r>
        <w:drawing>
          <wp:inline>
            <wp:extent cx="5504749" cy="4587290"/>
            <wp:effectExtent b="0" l="0" r="0" t="0"/>
            <wp:docPr descr="Figure 23:  Variable importance for predicting DOC over the full study period, with importance measured by type 1: mean square errors (i.e. mean decrease in accuracy when variable was omitted)." title="" id="1" name="Picture"/>
            <a:graphic>
              <a:graphicData uri="http://schemas.openxmlformats.org/drawingml/2006/picture">
                <pic:pic>
                  <pic:nvPicPr>
                    <pic:cNvPr descr="R-outputs_UBC-forWater-MSc_HMc/figures/Ch3_RF_NPOC-type1-relimp_MSE.png" id="0" name="Picture"/>
                    <pic:cNvPicPr>
                      <a:picLocks noChangeArrowheads="1" noChangeAspect="1"/>
                    </pic:cNvPicPr>
                  </pic:nvPicPr>
                  <pic:blipFill>
                    <a:blip r:embed="rId10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Variable importance for predicting DOC over the full study period, with importance measured by type 1: mean square errors (i.e. mean decrease in accuracy when variable was omitted).</w:t>
      </w:r>
    </w:p>
    <w:p>
      <w:pPr>
        <w:pStyle w:val="BodyText"/>
      </w:pPr>
      <w:r>
        <w:t xml:space="preserve"> </w:t>
      </w:r>
    </w:p>
    <w:p>
      <w:pPr>
        <w:pStyle w:val="BodyText"/>
      </w:pPr>
      <w:r>
        <w:t xml:space="preserve">When the entire sixteen month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(Figure</w:t>
      </w:r>
      <w:r>
        <w:t xml:space="preserve"> </w:t>
      </w:r>
      <w:r>
        <w:t xml:space="preserve">23</w:t>
      </w:r>
      <w:r>
        <w:t xml:space="preserve">). Logging history (area clear-cut between 1980 and 2011), was found to be a relatively poor predictor for DOC, along with other parent materials (e.g. meta-sedimentary, igneous, and combinations thereof).</w:t>
      </w:r>
    </w:p>
    <w:p>
      <w:pPr>
        <w:pStyle w:val="BodyText"/>
      </w:pPr>
      <w:r>
        <w:t xml:space="preserve"> </w:t>
      </w:r>
    </w:p>
    <w:p>
      <w:pPr>
        <w:pStyle w:val="CaptionedFigure"/>
      </w:pPr>
      <w:r>
        <w:drawing>
          <wp:inline>
            <wp:extent cx="5504749" cy="4587290"/>
            <wp:effectExtent b="0" l="0" r="0" t="0"/>
            <wp:docPr descr="Figure 24:  Variable importance for predicting DOC during wet season (only), measured by type 1: mean square errors (i.e. mean decrease in accuracy when variable was omitted)" title="" id="1" name="Picture"/>
            <a:graphic>
              <a:graphicData uri="http://schemas.openxmlformats.org/drawingml/2006/picture">
                <pic:pic>
                  <pic:nvPicPr>
                    <pic:cNvPr descr="R-outputs_UBC-forWater-MSc_HMc/figures/Ch3_RF_NPOC_type1-wet-relimp_MSE.png" id="0" name="Picture"/>
                    <pic:cNvPicPr>
                      <a:picLocks noChangeArrowheads="1" noChangeAspect="1"/>
                    </pic:cNvPicPr>
                  </pic:nvPicPr>
                  <pic:blipFill>
                    <a:blip r:embed="rId10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Variable importance for predicting DOC during wet season (only), measured by type 1: mean square errors (i.e. mean decrease in accuracy when variable was omitted)</w:t>
      </w:r>
    </w:p>
    <w:p>
      <w:pPr>
        <w:pStyle w:val="BodyText"/>
      </w:pPr>
      <w:r>
        <w:t xml:space="preserve"> </w:t>
      </w:r>
    </w:p>
    <w:p>
      <w:pPr>
        <w:pStyle w:val="BodyText"/>
      </w:pPr>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w:t>
      </w:r>
      <w:r>
        <w:t xml:space="preserve"> </w:t>
      </w:r>
      <w:r>
        <w:t xml:space="preserve">24</w:t>
      </w:r>
      <w:r>
        <w:t xml:space="preserve">). Maybe in the wet season, antecedent rain matters less than year-round because the watershed is near saturation and though rain generates stream response the variable NOM source areas are already highly connected to the streams.</w:t>
      </w:r>
    </w:p>
    <w:p>
      <w:pPr>
        <w:pStyle w:val="BodyText"/>
      </w:pPr>
      <w:r>
        <w:t xml:space="preserve"> </w:t>
      </w:r>
    </w:p>
    <w:p>
      <w:pPr>
        <w:pStyle w:val="CaptionedFigure"/>
      </w:pPr>
      <w:r>
        <w:drawing>
          <wp:inline>
            <wp:extent cx="5504749" cy="4587290"/>
            <wp:effectExtent b="0" l="0" r="0" t="0"/>
            <wp:docPr descr="Figure 25:  Variable importance for predicting DOC during dry season (only), measured by type 1: mean square errors (i.e. mean decrease in accuracy when variable was omitted)." title="" id="1" name="Picture"/>
            <a:graphic>
              <a:graphicData uri="http://schemas.openxmlformats.org/drawingml/2006/picture">
                <pic:pic>
                  <pic:nvPicPr>
                    <pic:cNvPr descr="R-outputs_UBC-forWater-MSc_HMc/figures/Ch3_RF_NPOC_type1-dry-relimp_MSE.png" id="0" name="Picture"/>
                    <pic:cNvPicPr>
                      <a:picLocks noChangeArrowheads="1" noChangeAspect="1"/>
                    </pic:cNvPicPr>
                  </pic:nvPicPr>
                  <pic:blipFill>
                    <a:blip r:embed="rId10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Variable importance for predicting DOC during dry season (only), measured by type 1: mean square errors (i.e. mean decrease in accuracy when variable was omitted).</w:t>
      </w:r>
    </w:p>
    <w:p>
      <w:pPr>
        <w:pStyle w:val="BodyText"/>
      </w:pPr>
      <w:r>
        <w:t xml:space="preserve"> </w:t>
      </w:r>
    </w:p>
    <w:p>
      <w:pPr>
        <w:pStyle w:val="BodyText"/>
      </w:pPr>
      <w:r>
        <w:t xml:space="preserve">Looking only at the dry season, antecedent 7-day air temperature was once again the primary predictor for DOC concentrations, followed by land-cover (open-water, wetland cover) and basin slope was found to be more important than forest cover for dry season DOC.</w:t>
      </w:r>
    </w:p>
    <w:p>
      <w:pPr>
        <w:pStyle w:val="BodyText"/>
      </w:pPr>
      <w:r>
        <w:t xml:space="preserve"> </w:t>
      </w:r>
    </w:p>
    <w:p>
      <w:pPr>
        <w:pStyle w:val="BodyText"/>
      </w:pPr>
      <w:r>
        <w:rPr>
          <w:i/>
          <w:b/>
        </w:rPr>
        <w:t xml:space="preserve">Do this for SAC</w:t>
      </w:r>
      <w:r>
        <w:rPr>
          <w:vertAlign w:val="subscript"/>
          <w:i/>
          <w:b/>
        </w:rPr>
        <w:t xml:space="preserve">254</w:t>
      </w:r>
      <w:r>
        <w:rPr>
          <w:i/>
          <w:b/>
        </w:rPr>
        <w:t xml:space="preserve"> </w:t>
      </w:r>
      <w:r>
        <w:rPr>
          <w:i/>
          <w:b/>
        </w:rPr>
        <w:t xml:space="preserve">and E</w:t>
      </w:r>
      <w:r>
        <w:rPr>
          <w:vertAlign w:val="subscript"/>
          <w:i/>
          <w:b/>
        </w:rPr>
        <w:t xml:space="preserve">2</w:t>
      </w:r>
      <w:r>
        <w:rPr>
          <w:i/>
          <w:b/>
        </w:rPr>
        <w:t xml:space="preserve">:E</w:t>
      </w:r>
      <w:r>
        <w:rPr>
          <w:vertAlign w:val="subscript"/>
          <w:i/>
          <w:b/>
        </w:rPr>
        <w:t xml:space="preserve">3</w:t>
      </w:r>
      <w:r>
        <w:rPr>
          <w:i/>
          <w:b/>
        </w:rPr>
        <w:t xml:space="preserve"> </w:t>
      </w:r>
      <w:r>
        <w:rPr>
          <w:i/>
          <w:b/>
        </w:rPr>
        <w:t xml:space="preserve">also</w:t>
      </w:r>
    </w:p>
    <w:p>
      <w:pPr>
        <w:pStyle w:val="Heading3"/>
      </w:pPr>
      <w:bookmarkStart w:id="104" w:name="remove-until-you-fix-this"/>
      <w:r>
        <w:t xml:space="preserve">Remove until you fix this</w:t>
      </w:r>
      <w:bookmarkEnd w:id="104"/>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26</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19</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19:</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9: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stream response to precipitation events 10-12 across the LWSA.</w:t>
      </w:r>
    </w:p>
    <w:tbl>
      <w:tblPr>
        <w:tblStyle w:val="Table"/>
        <w:tblW w:type="pct" w:w="5000.0"/>
        <w:tblLook w:firstRow="1"/>
        <w:tblCaption w:val="Table 20: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DOC changes within stormflow response to precipitation events 10-12 across the LWSA.</w:t>
      </w:r>
    </w:p>
    <w:tbl>
      <w:tblPr>
        <w:tblStyle w:val="Table"/>
        <w:tblW w:type="pct" w:w="5000.0"/>
        <w:tblLook w:firstRow="1"/>
        <w:tblCaption w:val="Table 21: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6: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6" w:name="discussion"/>
      <w:r>
        <w:t xml:space="preserve">Discussion</w:t>
      </w:r>
      <w:bookmarkEnd w:id="106"/>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FirstParagraph"/>
      </w:pPr>
      <w:r>
        <w:t xml:space="preserve"> </w:t>
      </w:r>
    </w:p>
    <w:p>
      <w:pPr>
        <w:pStyle w:val="Heading3"/>
      </w:pPr>
      <w:bookmarkStart w:id="107" w:name="conculsions"/>
      <w:r>
        <w:t xml:space="preserve">Conculsions</w:t>
      </w:r>
      <w:bookmarkEnd w:id="107"/>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08" w:name="summary-conclusions"/>
      <w:r>
        <w:t xml:space="preserve">Summary &amp; Conclusions</w:t>
      </w:r>
      <w:bookmarkEnd w:id="108"/>
    </w:p>
    <w:p>
      <w:pPr>
        <w:pStyle w:val="Heading3"/>
      </w:pPr>
      <w:bookmarkStart w:id="109" w:name="X8db5f38833cbb48dc6afb8e20d30ffa86edd60c"/>
      <w:r>
        <w:t xml:space="preserve">Discussion of results in context of drinking water supply</w:t>
      </w:r>
      <w:bookmarkEnd w:id="109"/>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0" w:name="concluding-remarks"/>
      <w:r>
        <w:t xml:space="preserve">Concluding remarks</w:t>
      </w:r>
      <w:bookmarkEnd w:id="110"/>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1" w:name="references"/>
      <w:r>
        <w:t xml:space="preserve">References</w:t>
      </w:r>
      <w:bookmarkEnd w:id="111"/>
    </w:p>
    <w:p>
      <w:pPr>
        <w:pStyle w:val="Heading1"/>
      </w:pPr>
      <w:bookmarkStart w:id="112" w:name="appendices"/>
      <w:r>
        <w:t xml:space="preserve">Appendices</w:t>
      </w:r>
      <w:bookmarkEnd w:id="112"/>
    </w:p>
    <w:p>
      <w:pPr>
        <w:pStyle w:val="Heading7"/>
      </w:pPr>
      <w:bookmarkStart w:id="113" w:name="introduction-extended-background"/>
      <w:r>
        <w:t xml:space="preserve">Introduction: extended background</w:t>
      </w:r>
      <w:bookmarkEnd w:id="113"/>
    </w:p>
    <w:p>
      <w:pPr>
        <w:pStyle w:val="Heading8"/>
      </w:pPr>
      <w:bookmarkStart w:id="114" w:name="the-nserc-forwater-network"/>
      <w:r>
        <w:t xml:space="preserve">The NSERC forWater Network</w:t>
      </w:r>
      <w:bookmarkEnd w:id="114"/>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5" w:name="X264f14d3eae9d18c35d78736d0a098750021930"/>
      <w:r>
        <w:t xml:space="preserve">Greater Victoria Regional Water Supply System</w:t>
      </w:r>
      <w:bookmarkEnd w:id="11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6" w:name="Xe968f3c83cbcc4b5a1983307cc0905fcf58e8c8"/>
      <w:r>
        <w:t xml:space="preserve">Leech watershed monitoring sites: details and observations</w:t>
      </w:r>
      <w:bookmarkEnd w:id="11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17" w:name="lwsa-sites"/>
      <w:r>
        <w:t xml:space="preserve">LWSA Sites</w:t>
      </w:r>
      <w:bookmarkEnd w:id="11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7: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18"/>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19" w:name="sampling-methods-extended"/>
      <w:r>
        <w:t xml:space="preserve">Sampling methods extended</w:t>
      </w:r>
      <w:bookmarkEnd w:id="11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0" w:name="X4e3eb70344da6a931ae15671e47b67ae69cdd36"/>
      <w:r>
        <w:t xml:space="preserve">Prototype for falling limb passive sampling</w:t>
      </w:r>
      <w:bookmarkEnd w:id="120"/>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1" w:name="field-protocol"/>
      <w:r>
        <w:t xml:space="preserve">Field protocol</w:t>
      </w:r>
      <w:bookmarkEnd w:id="121"/>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2" w:name="X2d89b5d6f202e03997b814e44f6e42dfdd5249c"/>
      <w:r>
        <w:t xml:space="preserve">Collaborative sampling: forWater-coordinated treatability analyses</w:t>
      </w:r>
      <w:bookmarkEnd w:id="122"/>
    </w:p>
    <w:p>
      <w:pPr>
        <w:pStyle w:val="Heading8"/>
      </w:pPr>
      <w:bookmarkStart w:id="123" w:name="methods-treatability-doc"/>
      <w:r>
        <w:t xml:space="preserve">Methods: Treatability &amp; DOC</w:t>
      </w:r>
      <w:bookmarkEnd w:id="123"/>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4" w:name="results-treatability-doc"/>
      <w:r>
        <w:t xml:space="preserve">Results: Treatability &amp; DOC</w:t>
      </w:r>
      <w:bookmarkEnd w:id="12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5"/>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6" w:name="Xff3df6f0b5125afdf67e23fe1c58fcbb9379388"/>
      <w:r>
        <w:t xml:space="preserve">Collaborative sampling: Sampling for Metals on behalf of the CRD</w:t>
      </w:r>
      <w:bookmarkEnd w:id="12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43600" cy="3669448"/>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7"/>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9448"/>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28"/>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29" w:name="ancilary-data-climate-context"/>
      <w:r>
        <w:t xml:space="preserve">Ancilary data: climate context</w:t>
      </w:r>
      <w:bookmarkEnd w:id="129"/>
    </w:p>
    <w:p>
      <w:pPr>
        <w:pStyle w:val="Heading8"/>
      </w:pPr>
      <w:bookmarkStart w:id="130" w:name="fwx-stations-in-the-lwsa"/>
      <w:r>
        <w:t xml:space="preserve">FWx stations in the LWSA</w:t>
      </w:r>
      <w:bookmarkEnd w:id="130"/>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2" w:name="malahat-5-year-weather"/>
      <w:r>
        <w:t xml:space="preserve">Malahat 5 year weather</w:t>
      </w:r>
      <w:bookmarkEnd w:id="132"/>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43600" cy="3669448"/>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3"/>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9448"/>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4"/>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5" w:name="Xf5bd38fa1fb9dfd4e7cefd39104e81e653219ae"/>
      <w:r>
        <w:t xml:space="preserve">Extended: linear regression for air temperatures at vertical racks</w:t>
      </w:r>
      <w:bookmarkEnd w:id="13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38" w:name="Xcb91ee272f7dfa22c755b18931f0aed63be860e"/>
      <w:r>
        <w:t xml:space="preserve">Linear regression: air temperature estimation</w:t>
      </w:r>
      <w:bookmarkEnd w:id="13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26</w:t>
      </w:r>
      <w:r>
        <w:t xml:space="preserve">) with no statistical difference (at 90% confidence) for Cragg Crk, West Leech and the Tunnel (sites 4, 5, 6).</w:t>
      </w:r>
    </w:p>
    <w:p>
      <w:pPr>
        <w:pStyle w:val="BodyText"/>
      </w:pPr>
      <w:r>
        <w:t xml:space="preserve"> </w:t>
      </w:r>
    </w:p>
    <w:p>
      <w:pPr>
        <w:pStyle w:val="TableCaption"/>
      </w:pPr>
      <w:r>
        <w:t xml:space="preserve">Table 26:</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6: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27</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27:</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7: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1" w:name="results-extended"/>
      <w:r>
        <w:t xml:space="preserve">Results extended</w:t>
      </w:r>
      <w:bookmarkEnd w:id="141"/>
    </w:p>
    <w:p>
      <w:pPr>
        <w:pStyle w:val="Heading8"/>
      </w:pPr>
      <w:bookmarkStart w:id="142" w:name="X91fa14e256c50d3b56fbacfc8ea86d69f0ab7ce"/>
      <w:r>
        <w:t xml:space="preserve">NOM sampling in nested catchments (from Ch.2)</w:t>
      </w:r>
      <w:bookmarkEnd w:id="142"/>
    </w:p>
    <w:p>
      <w:pPr>
        <w:pStyle w:val="FirstParagraph"/>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5" w:name="possible-trash"/>
      <w:r>
        <w:t xml:space="preserve">possible trash</w:t>
      </w:r>
      <w:bookmarkEnd w:id="145"/>
    </w:p>
    <w:p>
      <w:pPr>
        <w:pStyle w:val="Heading8"/>
      </w:pPr>
      <w:bookmarkStart w:id="146" w:name="spatial-variance-in-doc-concentrations"/>
      <w:r>
        <w:t xml:space="preserve">Spatial variance in DOC concentrations</w:t>
      </w:r>
      <w:bookmarkEnd w:id="146"/>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28</w:t>
      </w:r>
      <w:r>
        <w:t xml:space="preserve">).</w:t>
      </w:r>
    </w:p>
    <w:p>
      <w:pPr>
        <w:pStyle w:val="BodyText"/>
      </w:pPr>
      <w:r>
        <w:t xml:space="preserve"> </w:t>
      </w:r>
    </w:p>
    <w:p>
      <w:pPr>
        <w:pStyle w:val="TableCaption"/>
      </w:pPr>
      <w:r>
        <w:t xml:space="preserve">Table 28:</w:t>
      </w:r>
      <w:r>
        <w:t xml:space="preserve"> </w:t>
      </w:r>
      <w:r>
        <w:rPr>
          <w:i/>
        </w:rPr>
        <w:t xml:space="preserve">Summary of DOC across the six LWSA research sites with each nested catchment classified by basin type.</w:t>
      </w:r>
    </w:p>
    <w:tbl>
      <w:tblPr>
        <w:tblStyle w:val="Table"/>
        <w:tblW w:type="pct" w:w="5000.0"/>
        <w:tblLook w:firstRow="1"/>
        <w:tblCaption w:val="Table 28: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7"/>
      </w:r>
    </w:p>
    <w:p>
      <w:pPr>
        <w:pStyle w:val="BodyText"/>
      </w:pPr>
      <w:r>
        <w:t xml:space="preserve">To identify which pairs of sites had equal DOC variance Levene’s test was applied to sample DOC results. Table</w:t>
      </w:r>
      <w:r>
        <w:t xml:space="preserve"> </w:t>
      </w:r>
      <w:r>
        <w:t xml:space="preserve">29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8" w:name="e2e3-over-time"/>
      <w:r>
        <w:t xml:space="preserve">E2E3 over time</w:t>
      </w:r>
      <w:bookmarkEnd w:id="148"/>
    </w:p>
    <w:p>
      <w:pPr>
        <w:pStyle w:val="CaptionedFigure"/>
      </w:pPr>
      <w:r>
        <w:drawing>
          <wp:inline>
            <wp:extent cx="5504749" cy="3669832"/>
            <wp:effectExtent b="0" l="0" r="0" t="0"/>
            <wp:docPr descr="Figure 40: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6"/>
          <w:ilvl w:val="0"/>
        </w:numPr>
      </w:pPr>
      <w:r>
        <w:t xml:space="preserve">Gauging Streamflow (?)</w:t>
      </w:r>
    </w:p>
    <w:bookmarkStart w:id="277" w:name="refs"/>
    <w:bookmarkStart w:id="15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0">
        <w:r>
          <w:rPr>
            <w:rStyle w:val="Hyperlink"/>
          </w:rPr>
          <w:t xml:space="preserve">https://doi.org/10.1111/ele.12897</w:t>
        </w:r>
      </w:hyperlink>
      <w:r>
        <w:t xml:space="preserve">.</w:t>
      </w:r>
    </w:p>
    <w:bookmarkEnd w:id="151"/>
    <w:bookmarkStart w:id="15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2">
        <w:r>
          <w:rPr>
            <w:rStyle w:val="Hyperlink"/>
          </w:rPr>
          <w:t xml:space="preserve">https://doi.org/10.1002/j.1551-8833.1995.tb06299.x</w:t>
        </w:r>
      </w:hyperlink>
      <w:r>
        <w:t xml:space="preserve">.</w:t>
      </w:r>
    </w:p>
    <w:bookmarkEnd w:id="153"/>
    <w:bookmarkStart w:id="15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4">
        <w:r>
          <w:rPr>
            <w:rStyle w:val="Hyperlink"/>
          </w:rPr>
          <w:t xml:space="preserve">https://doi.org/10.1021/es103992s</w:t>
        </w:r>
      </w:hyperlink>
      <w:r>
        <w:t xml:space="preserve">.</w:t>
      </w:r>
    </w:p>
    <w:bookmarkEnd w:id="155"/>
    <w:bookmarkStart w:id="15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6">
        <w:r>
          <w:rPr>
            <w:rStyle w:val="Hyperlink"/>
          </w:rPr>
          <w:t xml:space="preserve">https://doi.org/10.1016/j.jhydrol.2014.05.060</w:t>
        </w:r>
      </w:hyperlink>
      <w:r>
        <w:t xml:space="preserve">.</w:t>
      </w:r>
    </w:p>
    <w:bookmarkEnd w:id="157"/>
    <w:bookmarkStart w:id="15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8">
        <w:r>
          <w:rPr>
            <w:rStyle w:val="Hyperlink"/>
          </w:rPr>
          <w:t xml:space="preserve">https://doi.org/10.1029/2007JG000674</w:t>
        </w:r>
      </w:hyperlink>
      <w:r>
        <w:t xml:space="preserve">.</w:t>
      </w:r>
    </w:p>
    <w:bookmarkEnd w:id="159"/>
    <w:bookmarkStart w:id="16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http://www.standardmethods.org/</w:t>
        </w:r>
      </w:hyperlink>
      <w:r>
        <w:t xml:space="preserve">.</w:t>
      </w:r>
    </w:p>
    <w:bookmarkEnd w:id="161"/>
    <w:bookmarkStart w:id="16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2">
        <w:r>
          <w:rPr>
            <w:rStyle w:val="Hyperlink"/>
          </w:rPr>
          <w:t xml:space="preserve">https://doi.org/10.2105/SMWW.2882.113</w:t>
        </w:r>
      </w:hyperlink>
      <w:r>
        <w:t xml:space="preserve">.</w:t>
      </w:r>
    </w:p>
    <w:bookmarkEnd w:id="163"/>
    <w:bookmarkStart w:id="16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4">
        <w:r>
          <w:rPr>
            <w:rStyle w:val="Hyperlink"/>
          </w:rPr>
          <w:t xml:space="preserve">https://doi.org/10.1007/s11749-016-0481-7</w:t>
        </w:r>
      </w:hyperlink>
      <w:r>
        <w:t xml:space="preserve">.</w:t>
      </w:r>
    </w:p>
    <w:bookmarkEnd w:id="165"/>
    <w:bookmarkStart w:id="16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6">
        <w:r>
          <w:rPr>
            <w:rStyle w:val="Hyperlink"/>
          </w:rPr>
          <w:t xml:space="preserve">https://doi.org/10.1201/9780367816377-11</w:t>
        </w:r>
      </w:hyperlink>
      <w:r>
        <w:t xml:space="preserve">.</w:t>
      </w:r>
    </w:p>
    <w:bookmarkEnd w:id="167"/>
    <w:bookmarkStart w:id="169" w:name="ref-BC2019"/>
    <w:p>
      <w:pPr>
        <w:pStyle w:val="Bibliography"/>
      </w:pPr>
      <w:r>
        <w:t xml:space="preserve">British Columbia Ministry of Environment. 2017. “BC Source Drinking Water Quality Guidelines: Guideline Summary.” Victoria, B.C.: Prov. B.C.</w:t>
      </w:r>
      <w:r>
        <w:t xml:space="preserve"> </w:t>
      </w:r>
      <w:hyperlink r:id="rId168">
        <w:r>
          <w:rPr>
            <w:rStyle w:val="Hyperlink"/>
          </w:rPr>
          <w:t xml:space="preserve">https://www2.gov.bc.ca/gov/content/governments/organizational-structure/ministries-organizations/ministries/environment-climate-change</w:t>
        </w:r>
      </w:hyperlink>
      <w:r>
        <w:t xml:space="preserve">.</w:t>
      </w:r>
    </w:p>
    <w:bookmarkEnd w:id="169"/>
    <w:bookmarkStart w:id="170" w:name="ref-CCME2004"/>
    <w:p>
      <w:pPr>
        <w:pStyle w:val="Bibliography"/>
      </w:pPr>
      <w:r>
        <w:t xml:space="preserve">Canadian Council of Ministers of the Environment. 2004. “From source to tap : guidance on the multi-barrier approach to safe drinking water.”</w:t>
      </w:r>
    </w:p>
    <w:bookmarkEnd w:id="170"/>
    <w:bookmarkStart w:id="17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1"/>
    <w:bookmarkStart w:id="17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2">
        <w:r>
          <w:rPr>
            <w:rStyle w:val="Hyperlink"/>
          </w:rPr>
          <w:t xml:space="preserve">https://doi.org/10.2166/aqua.2008.064</w:t>
        </w:r>
      </w:hyperlink>
      <w:r>
        <w:t xml:space="preserve">.</w:t>
      </w:r>
    </w:p>
    <w:bookmarkEnd w:id="173"/>
    <w:bookmarkStart w:id="17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4">
        <w:r>
          <w:rPr>
            <w:rStyle w:val="Hyperlink"/>
          </w:rPr>
          <w:t xml:space="preserve">https://doi.org/10.1007/978-94-007-1363-5</w:t>
        </w:r>
      </w:hyperlink>
      <w:r>
        <w:t xml:space="preserve">.</w:t>
      </w:r>
    </w:p>
    <w:bookmarkEnd w:id="175"/>
    <w:bookmarkStart w:id="177" w:name="ref-CapitalRegionDistrict2017"/>
    <w:p>
      <w:pPr>
        <w:pStyle w:val="Bibliography"/>
      </w:pPr>
      <w:r>
        <w:t xml:space="preserve">CRD. 2017. “Regional Water Supply 2017 Strategic Plan.” Victoria, B.C.: Capital Region District, Integrated Water Services.</w:t>
      </w:r>
      <w:r>
        <w:t xml:space="preserve"> </w:t>
      </w:r>
      <w:hyperlink r:id="rId176">
        <w:r>
          <w:rPr>
            <w:rStyle w:val="Hyperlink"/>
          </w:rPr>
          <w:t xml:space="preserve">https://www.crd.bc.ca/project/past-capital-projects-and-initiatives/water-supply-plan</w:t>
        </w:r>
      </w:hyperlink>
      <w:r>
        <w:t xml:space="preserve">.</w:t>
      </w:r>
    </w:p>
    <w:bookmarkEnd w:id="177"/>
    <w:bookmarkStart w:id="17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8">
        <w:r>
          <w:rPr>
            <w:rStyle w:val="Hyperlink"/>
          </w:rPr>
          <w:t xml:space="preserve">https://doi.org/IWSS-297445977-5079</w:t>
        </w:r>
      </w:hyperlink>
      <w:r>
        <w:t xml:space="preserve">.</w:t>
      </w:r>
    </w:p>
    <w:bookmarkEnd w:id="179"/>
    <w:bookmarkStart w:id="180" w:name="ref-CRD2020"/>
    <w:p>
      <w:pPr>
        <w:pStyle w:val="Bibliography"/>
      </w:pPr>
      <w:r>
        <w:t xml:space="preserve">———. 2020. “Unpublished weather station data, Greater Victoria Water Supply Area.” Victoria, B.C.: Capital Regional District, Watershed Protection Division, Integrated Water Services.</w:t>
      </w:r>
    </w:p>
    <w:bookmarkEnd w:id="180"/>
    <w:bookmarkStart w:id="182"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1">
        <w:r>
          <w:rPr>
            <w:rStyle w:val="Hyperlink"/>
          </w:rPr>
          <w:t xml:space="preserve">https://doi.org/10.1139/cjfas-2014-0400</w:t>
        </w:r>
      </w:hyperlink>
      <w:r>
        <w:t xml:space="preserve">.</w:t>
      </w:r>
    </w:p>
    <w:bookmarkEnd w:id="182"/>
    <w:bookmarkStart w:id="184"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3">
        <w:r>
          <w:rPr>
            <w:rStyle w:val="Hyperlink"/>
          </w:rPr>
          <w:t xml:space="preserve">https://doi.org/10.1016/B978-0-12-382092-1.00019-1</w:t>
        </w:r>
      </w:hyperlink>
      <w:r>
        <w:t xml:space="preserve">.</w:t>
      </w:r>
    </w:p>
    <w:bookmarkEnd w:id="184"/>
    <w:bookmarkStart w:id="186"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5">
        <w:r>
          <w:rPr>
            <w:rStyle w:val="Hyperlink"/>
          </w:rPr>
          <w:t xml:space="preserve">https://doi.org/10.1016/j.watres.2016.08.031</w:t>
        </w:r>
      </w:hyperlink>
      <w:r>
        <w:t xml:space="preserve">.</w:t>
      </w:r>
    </w:p>
    <w:bookmarkEnd w:id="186"/>
    <w:bookmarkStart w:id="188" w:name="ref-Diehl2007"/>
    <w:p>
      <w:pPr>
        <w:pStyle w:val="Bibliography"/>
      </w:pPr>
      <w:r>
        <w:t xml:space="preserve">Diehl, Timothy H. 2007. “A Modified Siphon Sampler for Shallow Water.” U.S. Department of the Interior, U.S. Geological Survey.</w:t>
      </w:r>
      <w:r>
        <w:t xml:space="preserve"> </w:t>
      </w:r>
      <w:hyperlink r:id="rId187">
        <w:r>
          <w:rPr>
            <w:rStyle w:val="Hyperlink"/>
          </w:rPr>
          <w:t xml:space="preserve">https://pubs.er.usgs.gov/publication/sir20075282</w:t>
        </w:r>
      </w:hyperlink>
      <w:r>
        <w:t xml:space="preserve">.</w:t>
      </w:r>
    </w:p>
    <w:bookmarkEnd w:id="188"/>
    <w:bookmarkStart w:id="19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9">
        <w:r>
          <w:rPr>
            <w:rStyle w:val="Hyperlink"/>
          </w:rPr>
          <w:t xml:space="preserve">http://scholar.google.com/scholar?hl=en{\&amp;}btnG=Search{\&amp;}q=intitle:Running+Pure{\#}1</w:t>
        </w:r>
      </w:hyperlink>
      <w:r>
        <w:t xml:space="preserve">.</w:t>
      </w:r>
    </w:p>
    <w:bookmarkEnd w:id="190"/>
    <w:bookmarkStart w:id="192"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1">
        <w:r>
          <w:rPr>
            <w:rStyle w:val="Hyperlink"/>
          </w:rPr>
          <w:t xml:space="preserve">https://doi.org/10.1016/j.watres.2010.08.051</w:t>
        </w:r>
      </w:hyperlink>
      <w:r>
        <w:t xml:space="preserve">.</w:t>
      </w:r>
    </w:p>
    <w:bookmarkEnd w:id="192"/>
    <w:bookmarkStart w:id="193" w:name="ref-Epps1994"/>
    <w:p>
      <w:pPr>
        <w:pStyle w:val="Bibliography"/>
      </w:pPr>
      <w:r>
        <w:t xml:space="preserve">Epps, Deborah Norine. 1994. “Factors Affecting Disinfection By-Products from Surface Source Waters on Vancouver Island.” Master of Science, University of Victoria.</w:t>
      </w:r>
    </w:p>
    <w:bookmarkEnd w:id="193"/>
    <w:bookmarkStart w:id="195"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4">
        <w:r>
          <w:rPr>
            <w:rStyle w:val="Hyperlink"/>
          </w:rPr>
          <w:t xml:space="preserve">https://doi.org/10.4319/lo.2012.57.5.1453</w:t>
        </w:r>
      </w:hyperlink>
      <w:r>
        <w:t xml:space="preserve">.</w:t>
      </w:r>
    </w:p>
    <w:bookmarkEnd w:id="195"/>
    <w:bookmarkStart w:id="197"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6">
        <w:r>
          <w:rPr>
            <w:rStyle w:val="Hyperlink"/>
          </w:rPr>
          <w:t xml:space="preserve">https://doi.org/10.3133/fs06700</w:t>
        </w:r>
      </w:hyperlink>
      <w:r>
        <w:t xml:space="preserve">.</w:t>
      </w:r>
    </w:p>
    <w:bookmarkEnd w:id="197"/>
    <w:bookmarkStart w:id="19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8">
        <w:r>
          <w:rPr>
            <w:rStyle w:val="Hyperlink"/>
          </w:rPr>
          <w:t xml:space="preserve">https://doi.org/10.13031/2013.15662</w:t>
        </w:r>
      </w:hyperlink>
      <w:r>
        <w:t xml:space="preserve">.</w:t>
      </w:r>
    </w:p>
    <w:bookmarkEnd w:id="199"/>
    <w:bookmarkStart w:id="201" w:name="ref-HealthCanada2019"/>
    <w:p>
      <w:pPr>
        <w:pStyle w:val="Bibliography"/>
      </w:pPr>
      <w:r>
        <w:t xml:space="preserve">Health Canada. 2019a. “Guidance on Natural Organic Matter in Drinking Water.”</w:t>
      </w:r>
      <w:r>
        <w:t xml:space="preserve"> </w:t>
      </w:r>
      <w:hyperlink r:id="rId200">
        <w:r>
          <w:rPr>
            <w:rStyle w:val="Hyperlink"/>
          </w:rPr>
          <w:t xml:space="preserve">https://www.canada.ca/content/dam/hc-sc/documents/programs/consultation-organic-matter-drinking-water/NOM20190129-eng.pdf</w:t>
        </w:r>
      </w:hyperlink>
      <w:r>
        <w:t xml:space="preserve">.</w:t>
      </w:r>
    </w:p>
    <w:bookmarkEnd w:id="201"/>
    <w:bookmarkStart w:id="20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2">
        <w:r>
          <w:rPr>
            <w:rStyle w:val="Hyperlink"/>
          </w:rPr>
          <w:t xml:space="preserve">https://www.canada.ca/content/dam/hc-sc/migration/hc-sc/ewh-semt/alt{\_}formats/pdf/pubs/water-eau/sum{\_}guide-res{\_}recom/summary-table-August-15-2019-eng.pdf</w:t>
        </w:r>
      </w:hyperlink>
      <w:r>
        <w:t xml:space="preserve">.</w:t>
      </w:r>
    </w:p>
    <w:bookmarkEnd w:id="203"/>
    <w:bookmarkStart w:id="205" w:name="ref-HealthCanada2006"/>
    <w:p>
      <w:pPr>
        <w:pStyle w:val="Bibliography"/>
      </w:pPr>
      <w:r>
        <w:t xml:space="preserve">HealthCanada. 2006. “Drinking Water Chlorination.”</w:t>
      </w:r>
      <w:r>
        <w:t xml:space="preserve"> </w:t>
      </w:r>
      <w:hyperlink r:id="rId204">
        <w:r>
          <w:rPr>
            <w:rStyle w:val="Hyperlink"/>
          </w:rPr>
          <w:t xml:space="preserve">https://www.canada.ca/en/health-canada/services/healthy-living/your-health/environment/drinking-water-chlorination.html</w:t>
        </w:r>
      </w:hyperlink>
      <w:r>
        <w:t xml:space="preserve">.</w:t>
      </w:r>
    </w:p>
    <w:bookmarkEnd w:id="205"/>
    <w:bookmarkStart w:id="207" w:name="ref-HealthLinkBC2018"/>
    <w:p>
      <w:pPr>
        <w:pStyle w:val="Bibliography"/>
      </w:pPr>
      <w:r>
        <w:t xml:space="preserve">HealthLinkBC. 2018. “Drinking Water Chlorination Facts.”</w:t>
      </w:r>
      <w:r>
        <w:t xml:space="preserve"> </w:t>
      </w:r>
      <w:hyperlink r:id="rId206">
        <w:r>
          <w:rPr>
            <w:rStyle w:val="Hyperlink"/>
          </w:rPr>
          <w:t xml:space="preserve">https://www.healthlinkbc.ca/healthlinkbc-files/drinking-water-chlorination</w:t>
        </w:r>
      </w:hyperlink>
      <w:r>
        <w:t xml:space="preserve">.</w:t>
      </w:r>
    </w:p>
    <w:bookmarkEnd w:id="207"/>
    <w:bookmarkStart w:id="20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8">
        <w:r>
          <w:rPr>
            <w:rStyle w:val="Hyperlink"/>
          </w:rPr>
          <w:t xml:space="preserve">https://www.jstor.org/stable/40058211</w:t>
        </w:r>
      </w:hyperlink>
      <w:r>
        <w:t xml:space="preserve">.</w:t>
      </w:r>
    </w:p>
    <w:bookmarkEnd w:id="209"/>
    <w:bookmarkStart w:id="21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10">
        <w:r>
          <w:rPr>
            <w:rStyle w:val="Hyperlink"/>
          </w:rPr>
          <w:t xml:space="preserve">https://doi.org/10.1016/j.chemosphere.2015.03.039</w:t>
        </w:r>
      </w:hyperlink>
      <w:r>
        <w:t xml:space="preserve">.</w:t>
      </w:r>
    </w:p>
    <w:bookmarkEnd w:id="211"/>
    <w:bookmarkStart w:id="21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2">
        <w:r>
          <w:rPr>
            <w:rStyle w:val="Hyperlink"/>
          </w:rPr>
          <w:t xml:space="preserve">https://doi.org/10.1002/j.1551-8833.1995.tb06302.x</w:t>
        </w:r>
      </w:hyperlink>
      <w:r>
        <w:t xml:space="preserve">.</w:t>
      </w:r>
    </w:p>
    <w:bookmarkEnd w:id="213"/>
    <w:bookmarkStart w:id="21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4">
        <w:r>
          <w:rPr>
            <w:rStyle w:val="Hyperlink"/>
          </w:rPr>
          <w:t xml:space="preserve">https://doi.org/doi:10.1046/j.1365-2427.1997.d01-539.x</w:t>
        </w:r>
      </w:hyperlink>
      <w:r>
        <w:t xml:space="preserve">.</w:t>
      </w:r>
    </w:p>
    <w:bookmarkEnd w:id="215"/>
    <w:bookmarkStart w:id="21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6">
        <w:r>
          <w:rPr>
            <w:rStyle w:val="Hyperlink"/>
          </w:rPr>
          <w:t xml:space="preserve">https://www.jstor.org/stable/41311011</w:t>
        </w:r>
      </w:hyperlink>
      <w:r>
        <w:t xml:space="preserve">.</w:t>
      </w:r>
    </w:p>
    <w:bookmarkEnd w:id="217"/>
    <w:bookmarkStart w:id="21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8">
        <w:r>
          <w:rPr>
            <w:rStyle w:val="Hyperlink"/>
          </w:rPr>
          <w:t xml:space="preserve">https://doi.org/10.1002/j.1551-8833.2002.tb10250.x</w:t>
        </w:r>
      </w:hyperlink>
      <w:r>
        <w:t xml:space="preserve">.</w:t>
      </w:r>
    </w:p>
    <w:bookmarkEnd w:id="219"/>
    <w:bookmarkStart w:id="22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0">
        <w:r>
          <w:rPr>
            <w:rStyle w:val="Hyperlink"/>
          </w:rPr>
          <w:t xml:space="preserve">https://doi.org/10.1029/2005WR004362</w:t>
        </w:r>
      </w:hyperlink>
      <w:r>
        <w:t xml:space="preserve">.</w:t>
      </w:r>
    </w:p>
    <w:bookmarkEnd w:id="221"/>
    <w:bookmarkStart w:id="22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2">
        <w:r>
          <w:rPr>
            <w:rStyle w:val="Hyperlink"/>
          </w:rPr>
          <w:t xml:space="preserve">https://archive.org/details/metaltransportre00lazeuoft/mode/2up</w:t>
        </w:r>
      </w:hyperlink>
      <w:r>
        <w:t xml:space="preserve">.</w:t>
      </w:r>
    </w:p>
    <w:bookmarkEnd w:id="223"/>
    <w:bookmarkStart w:id="22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4">
        <w:r>
          <w:rPr>
            <w:rStyle w:val="Hyperlink"/>
          </w:rPr>
          <w:t xml:space="preserve">https://doi.org/10.1016/j.jhazmat.2014.02.009</w:t>
        </w:r>
      </w:hyperlink>
      <w:r>
        <w:t xml:space="preserve">.</w:t>
      </w:r>
    </w:p>
    <w:bookmarkEnd w:id="225"/>
    <w:bookmarkStart w:id="22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6">
        <w:r>
          <w:rPr>
            <w:rStyle w:val="Hyperlink"/>
          </w:rPr>
          <w:t xml:space="preserve">https://doi.org/10.1002/rra.1504</w:t>
        </w:r>
      </w:hyperlink>
      <w:r>
        <w:t xml:space="preserve">.</w:t>
      </w:r>
    </w:p>
    <w:bookmarkEnd w:id="227"/>
    <w:bookmarkStart w:id="22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8">
        <w:r>
          <w:rPr>
            <w:rStyle w:val="Hyperlink"/>
          </w:rPr>
          <w:t xml:space="preserve">https://doi.org/10.1016/j.chemosphere.2011.01.018</w:t>
        </w:r>
      </w:hyperlink>
      <w:r>
        <w:t xml:space="preserve">.</w:t>
      </w:r>
    </w:p>
    <w:bookmarkEnd w:id="229"/>
    <w:bookmarkStart w:id="23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0">
        <w:r>
          <w:rPr>
            <w:rStyle w:val="Hyperlink"/>
          </w:rPr>
          <w:t xml:space="preserve">https://doi.org/10.1016/j.cis.2010.06.007</w:t>
        </w:r>
      </w:hyperlink>
      <w:r>
        <w:t xml:space="preserve">.</w:t>
      </w:r>
    </w:p>
    <w:bookmarkEnd w:id="231"/>
    <w:bookmarkStart w:id="23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2">
        <w:r>
          <w:rPr>
            <w:rStyle w:val="Hyperlink"/>
          </w:rPr>
          <w:t xml:space="preserve">https://www.jstor.org/stable/1937326</w:t>
        </w:r>
      </w:hyperlink>
      <w:r>
        <w:t xml:space="preserve">.</w:t>
      </w:r>
    </w:p>
    <w:bookmarkEnd w:id="233"/>
    <w:bookmarkStart w:id="234"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4"/>
    <w:bookmarkStart w:id="236"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5">
        <w:r>
          <w:rPr>
            <w:rStyle w:val="Hyperlink"/>
          </w:rPr>
          <w:t xml:space="preserve">https://doi.org/10.1007/s10533-015-0103-6</w:t>
        </w:r>
      </w:hyperlink>
      <w:r>
        <w:t xml:space="preserve">.</w:t>
      </w:r>
    </w:p>
    <w:bookmarkEnd w:id="236"/>
    <w:bookmarkStart w:id="238"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7">
        <w:r>
          <w:rPr>
            <w:rStyle w:val="Hyperlink"/>
          </w:rPr>
          <w:t xml:space="preserve">http://hdl.handle.net/1885/40940</w:t>
        </w:r>
      </w:hyperlink>
      <w:r>
        <w:t xml:space="preserve">.</w:t>
      </w:r>
    </w:p>
    <w:bookmarkEnd w:id="238"/>
    <w:bookmarkStart w:id="24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9">
        <w:r>
          <w:rPr>
            <w:rStyle w:val="Hyperlink"/>
          </w:rPr>
          <w:t xml:space="preserve">https://doi.org/10.5194/bg-10-2315-2013</w:t>
        </w:r>
      </w:hyperlink>
      <w:r>
        <w:t xml:space="preserve">.</w:t>
      </w:r>
    </w:p>
    <w:bookmarkEnd w:id="240"/>
    <w:bookmarkStart w:id="242"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1">
        <w:r>
          <w:rPr>
            <w:rStyle w:val="Hyperlink"/>
          </w:rPr>
          <w:t xml:space="preserve">http://www.jstor.com/stable/41295152</w:t>
        </w:r>
      </w:hyperlink>
      <w:r>
        <w:t xml:space="preserve">.</w:t>
      </w:r>
    </w:p>
    <w:bookmarkEnd w:id="242"/>
    <w:bookmarkStart w:id="244"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3">
        <w:r>
          <w:rPr>
            <w:rStyle w:val="Hyperlink"/>
          </w:rPr>
          <w:t xml:space="preserve">https://doi.org/10.1007/s11270-013-1651-9</w:t>
        </w:r>
      </w:hyperlink>
      <w:r>
        <w:t xml:space="preserve">.</w:t>
      </w:r>
    </w:p>
    <w:bookmarkEnd w:id="244"/>
    <w:bookmarkStart w:id="246"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5">
        <w:r>
          <w:rPr>
            <w:rStyle w:val="Hyperlink"/>
          </w:rPr>
          <w:t xml:space="preserve">https://doi.org/10.1016/S0003-2670(96)00412-6</w:t>
        </w:r>
      </w:hyperlink>
      <w:r>
        <w:t xml:space="preserve">.</w:t>
      </w:r>
    </w:p>
    <w:bookmarkEnd w:id="246"/>
    <w:bookmarkStart w:id="24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7">
        <w:r>
          <w:rPr>
            <w:rStyle w:val="Hyperlink"/>
          </w:rPr>
          <w:t xml:space="preserve">https://www.for.gov.bc.ca/hfd/pubs/docs/lmh/Lmh66/LMH66{\_}volume2of2.pdf</w:t>
        </w:r>
      </w:hyperlink>
      <w:r>
        <w:t xml:space="preserve">.</w:t>
      </w:r>
    </w:p>
    <w:bookmarkEnd w:id="248"/>
    <w:bookmarkStart w:id="24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9"/>
    <w:bookmarkStart w:id="25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0">
        <w:r>
          <w:rPr>
            <w:rStyle w:val="Hyperlink"/>
          </w:rPr>
          <w:t xml:space="preserve">https://doi.org/10.1007/sl0533-010-9416-7</w:t>
        </w:r>
      </w:hyperlink>
      <w:r>
        <w:t xml:space="preserve">.</w:t>
      </w:r>
    </w:p>
    <w:bookmarkEnd w:id="251"/>
    <w:bookmarkStart w:id="25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2">
        <w:r>
          <w:rPr>
            <w:rStyle w:val="Hyperlink"/>
          </w:rPr>
          <w:t xml:space="preserve">https://www.jstor.org/stable/24702986</w:t>
        </w:r>
      </w:hyperlink>
      <w:r>
        <w:t xml:space="preserve">.</w:t>
      </w:r>
    </w:p>
    <w:bookmarkEnd w:id="253"/>
    <w:bookmarkStart w:id="255"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4">
        <w:r>
          <w:rPr>
            <w:rStyle w:val="Hyperlink"/>
          </w:rPr>
          <w:t xml:space="preserve">https://doi.org/10.1016/j.mrrev.2007.09.001</w:t>
        </w:r>
      </w:hyperlink>
      <w:r>
        <w:t xml:space="preserve">.</w:t>
      </w:r>
    </w:p>
    <w:bookmarkEnd w:id="255"/>
    <w:bookmarkStart w:id="257"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6">
        <w:r>
          <w:rPr>
            <w:rStyle w:val="Hyperlink"/>
          </w:rPr>
          <w:t xml:space="preserve">https://doi.org/10.1016/j.scitotenv.2016.09.113</w:t>
        </w:r>
      </w:hyperlink>
      <w:r>
        <w:t xml:space="preserve">.</w:t>
      </w:r>
    </w:p>
    <w:bookmarkEnd w:id="257"/>
    <w:bookmarkStart w:id="259"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8">
        <w:r>
          <w:rPr>
            <w:rStyle w:val="Hyperlink"/>
          </w:rPr>
          <w:t xml:space="preserve">https://doi.org/10.1111/j.1365-2427.2011.02613.x</w:t>
        </w:r>
      </w:hyperlink>
      <w:r>
        <w:t xml:space="preserve">.</w:t>
      </w:r>
    </w:p>
    <w:bookmarkEnd w:id="259"/>
    <w:bookmarkStart w:id="261"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0">
        <w:r>
          <w:rPr>
            <w:rStyle w:val="Hyperlink"/>
          </w:rPr>
          <w:t xml:space="preserve">https://doi.org/10.1186/1471-2105-9-307</w:t>
        </w:r>
      </w:hyperlink>
      <w:r>
        <w:t xml:space="preserve">.</w:t>
      </w:r>
    </w:p>
    <w:bookmarkEnd w:id="261"/>
    <w:bookmarkStart w:id="263"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2">
        <w:r>
          <w:rPr>
            <w:rStyle w:val="Hyperlink"/>
          </w:rPr>
          <w:t xml:space="preserve">https://doi.org/10.1037/a0016973</w:t>
        </w:r>
      </w:hyperlink>
      <w:r>
        <w:t xml:space="preserve">.</w:t>
      </w:r>
    </w:p>
    <w:bookmarkEnd w:id="263"/>
    <w:bookmarkStart w:id="265"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4">
        <w:r>
          <w:rPr>
            <w:rStyle w:val="Hyperlink"/>
          </w:rPr>
          <w:t xml:space="preserve">https://doi.org/10.1016/j.jenvman.2007.03.001</w:t>
        </w:r>
      </w:hyperlink>
      <w:r>
        <w:t xml:space="preserve">.</w:t>
      </w:r>
    </w:p>
    <w:bookmarkEnd w:id="265"/>
    <w:bookmarkStart w:id="266"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6"/>
    <w:bookmarkStart w:id="26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7"/>
    <w:bookmarkStart w:id="26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8"/>
    <w:bookmarkStart w:id="27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9">
        <w:r>
          <w:rPr>
            <w:rStyle w:val="Hyperlink"/>
          </w:rPr>
          <w:t xml:space="preserve">https://doi.org/10.1007/s10533-008-9207-6</w:t>
        </w:r>
      </w:hyperlink>
      <w:r>
        <w:t xml:space="preserve">.</w:t>
      </w:r>
    </w:p>
    <w:bookmarkEnd w:id="270"/>
    <w:bookmarkStart w:id="27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1">
        <w:r>
          <w:rPr>
            <w:rStyle w:val="Hyperlink"/>
          </w:rPr>
          <w:t xml:space="preserve">https://doi.org/10.1021/es030360x</w:t>
        </w:r>
      </w:hyperlink>
      <w:r>
        <w:t xml:space="preserve">.</w:t>
      </w:r>
    </w:p>
    <w:bookmarkEnd w:id="272"/>
    <w:bookmarkStart w:id="27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3">
        <w:r>
          <w:rPr>
            <w:rStyle w:val="Hyperlink"/>
          </w:rPr>
          <w:t xml:space="preserve">https://doi.org/10.1007/s11356-015-4078-6</w:t>
        </w:r>
      </w:hyperlink>
      <w:r>
        <w:t xml:space="preserve">.</w:t>
      </w:r>
    </w:p>
    <w:bookmarkEnd w:id="274"/>
    <w:bookmarkStart w:id="27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5">
        <w:r>
          <w:rPr>
            <w:rStyle w:val="Hyperlink"/>
          </w:rPr>
          <w:t xml:space="preserve">https://doi.org/10.1029/2018GL080005</w:t>
        </w:r>
      </w:hyperlink>
      <w:r>
        <w:t xml:space="preserve">.</w:t>
      </w:r>
    </w:p>
    <w:bookmarkEnd w:id="276"/>
    <w:bookmarkEnd w:id="277"/>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7">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149" Target="media/rId149.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7" Target="media/rId97.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05" Target="media/rId105.png" /><Relationship Type="http://schemas.openxmlformats.org/officeDocument/2006/relationships/image" Id="rId125" Target="media/rId125.png" /><Relationship Type="http://schemas.openxmlformats.org/officeDocument/2006/relationships/hyperlink" Id="rId237" Target="http://hdl.handle.net/1885/40940" TargetMode="External" /><Relationship Type="http://schemas.openxmlformats.org/officeDocument/2006/relationships/hyperlink" Id="rId189"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2"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2" Target="https://doi.org/10.1002/j.1551-8833.1995.tb06302.x" TargetMode="External" /><Relationship Type="http://schemas.openxmlformats.org/officeDocument/2006/relationships/hyperlink" Id="rId218" Target="https://doi.org/10.1002/j.1551-8833.2002.tb10250.x" TargetMode="External" /><Relationship Type="http://schemas.openxmlformats.org/officeDocument/2006/relationships/hyperlink" Id="rId226"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9"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3"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3"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8" Target="https://doi.org/10.1016/j.chemosphere.2011.01.018" TargetMode="External" /><Relationship Type="http://schemas.openxmlformats.org/officeDocument/2006/relationships/hyperlink" Id="rId210" Target="https://doi.org/10.1016/j.chemosphere.2015.03.039" TargetMode="External" /><Relationship Type="http://schemas.openxmlformats.org/officeDocument/2006/relationships/hyperlink" Id="rId230" Target="https://doi.org/10.1016/j.cis.2010.06.007" TargetMode="External" /><Relationship Type="http://schemas.openxmlformats.org/officeDocument/2006/relationships/hyperlink" Id="rId264" Target="https://doi.org/10.1016/j.jenvman.2007.03.001" TargetMode="External" /><Relationship Type="http://schemas.openxmlformats.org/officeDocument/2006/relationships/hyperlink" Id="rId224"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mrrev.2007.09.001" TargetMode="External" /><Relationship Type="http://schemas.openxmlformats.org/officeDocument/2006/relationships/hyperlink" Id="rId256" Target="https://doi.org/10.1016/j.scitotenv.2016.09.113" TargetMode="External" /><Relationship Type="http://schemas.openxmlformats.org/officeDocument/2006/relationships/hyperlink" Id="rId191" Target="https://doi.org/10.1016/j.watres.2010.08.051" TargetMode="External" /><Relationship Type="http://schemas.openxmlformats.org/officeDocument/2006/relationships/hyperlink" Id="rId185" Target="https://doi.org/10.1016/j.watres.2016.08.031" TargetMode="External" /><Relationship Type="http://schemas.openxmlformats.org/officeDocument/2006/relationships/hyperlink" Id="rId271"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20"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5" Target="https://doi.org/10.1029/2018GL080005" TargetMode="External" /><Relationship Type="http://schemas.openxmlformats.org/officeDocument/2006/relationships/hyperlink" Id="rId262"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8" Target="https://doi.org/10.1111/j.1365-2427.2011.02613.x" TargetMode="External" /><Relationship Type="http://schemas.openxmlformats.org/officeDocument/2006/relationships/hyperlink" Id="rId181" Target="https://doi.org/10.1139/cjfas-2014-0400" TargetMode="External" /><Relationship Type="http://schemas.openxmlformats.org/officeDocument/2006/relationships/hyperlink" Id="rId260"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8"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6" Target="https://doi.org/10.3133/fs06700" TargetMode="External" /><Relationship Type="http://schemas.openxmlformats.org/officeDocument/2006/relationships/hyperlink" Id="rId194" Target="https://doi.org/10.4319/lo.2012.57.5.1453" TargetMode="External" /><Relationship Type="http://schemas.openxmlformats.org/officeDocument/2006/relationships/hyperlink" Id="rId239"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14" Target="https://doi.org/doi:10.1046/j.1365-2427.1997.d01-539.x" TargetMode="External" /><Relationship Type="http://schemas.openxmlformats.org/officeDocument/2006/relationships/hyperlink" Id="rId187" Target="https://pubs.er.usgs.gov/publication/sir20075282" TargetMode="External" /><Relationship Type="http://schemas.openxmlformats.org/officeDocument/2006/relationships/hyperlink" Id="rId200" Target="https://www.canada.ca/content/dam/hc-sc/documents/programs/consultation-organic-matter-drinking-water/NOM20190129-eng.pdf" TargetMode="External" /><Relationship Type="http://schemas.openxmlformats.org/officeDocument/2006/relationships/hyperlink" Id="rId202" Target="https://www.canada.ca/content/dam/hc-sc/migration/hc-sc/ewh-semt/alt%7B\_%7Dformats/pdf/pubs/water-eau/sum%7B\_%7Dguide-res%7B\_%7Drecom/summary-table-August-15-2019-eng.pdf" TargetMode="External" /><Relationship Type="http://schemas.openxmlformats.org/officeDocument/2006/relationships/hyperlink" Id="rId204"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6" Target="https://www.healthlinkbc.ca/healthlinkbc-files/drinking-water-chlorination" TargetMode="External" /><Relationship Type="http://schemas.openxmlformats.org/officeDocument/2006/relationships/hyperlink" Id="rId232"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8" Target="https://www.jstor.org/stable/40058211" TargetMode="External" /><Relationship Type="http://schemas.openxmlformats.org/officeDocument/2006/relationships/hyperlink" Id="rId216"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7" Target="http://hdl.handle.net/1885/40940" TargetMode="External" /><Relationship Type="http://schemas.openxmlformats.org/officeDocument/2006/relationships/hyperlink" Id="rId189"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2"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2" Target="https://doi.org/10.1002/j.1551-8833.1995.tb06302.x" TargetMode="External" /><Relationship Type="http://schemas.openxmlformats.org/officeDocument/2006/relationships/hyperlink" Id="rId218" Target="https://doi.org/10.1002/j.1551-8833.2002.tb10250.x" TargetMode="External" /><Relationship Type="http://schemas.openxmlformats.org/officeDocument/2006/relationships/hyperlink" Id="rId226"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9"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3"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3"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8" Target="https://doi.org/10.1016/j.chemosphere.2011.01.018" TargetMode="External" /><Relationship Type="http://schemas.openxmlformats.org/officeDocument/2006/relationships/hyperlink" Id="rId210" Target="https://doi.org/10.1016/j.chemosphere.2015.03.039" TargetMode="External" /><Relationship Type="http://schemas.openxmlformats.org/officeDocument/2006/relationships/hyperlink" Id="rId230" Target="https://doi.org/10.1016/j.cis.2010.06.007" TargetMode="External" /><Relationship Type="http://schemas.openxmlformats.org/officeDocument/2006/relationships/hyperlink" Id="rId264" Target="https://doi.org/10.1016/j.jenvman.2007.03.001" TargetMode="External" /><Relationship Type="http://schemas.openxmlformats.org/officeDocument/2006/relationships/hyperlink" Id="rId224"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mrrev.2007.09.001" TargetMode="External" /><Relationship Type="http://schemas.openxmlformats.org/officeDocument/2006/relationships/hyperlink" Id="rId256" Target="https://doi.org/10.1016/j.scitotenv.2016.09.113" TargetMode="External" /><Relationship Type="http://schemas.openxmlformats.org/officeDocument/2006/relationships/hyperlink" Id="rId191" Target="https://doi.org/10.1016/j.watres.2010.08.051" TargetMode="External" /><Relationship Type="http://schemas.openxmlformats.org/officeDocument/2006/relationships/hyperlink" Id="rId185" Target="https://doi.org/10.1016/j.watres.2016.08.031" TargetMode="External" /><Relationship Type="http://schemas.openxmlformats.org/officeDocument/2006/relationships/hyperlink" Id="rId271"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20"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5" Target="https://doi.org/10.1029/2018GL080005" TargetMode="External" /><Relationship Type="http://schemas.openxmlformats.org/officeDocument/2006/relationships/hyperlink" Id="rId262"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8" Target="https://doi.org/10.1111/j.1365-2427.2011.02613.x" TargetMode="External" /><Relationship Type="http://schemas.openxmlformats.org/officeDocument/2006/relationships/hyperlink" Id="rId181" Target="https://doi.org/10.1139/cjfas-2014-0400" TargetMode="External" /><Relationship Type="http://schemas.openxmlformats.org/officeDocument/2006/relationships/hyperlink" Id="rId260"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8" Target="https://doi.org/10.13031/2013.15662" TargetMode="External" /><Relationship Type="http://schemas.openxmlformats.org/officeDocument/2006/relationships/hyperlink" Id="rId162"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6" Target="https://doi.org/10.3133/fs06700" TargetMode="External" /><Relationship Type="http://schemas.openxmlformats.org/officeDocument/2006/relationships/hyperlink" Id="rId194" Target="https://doi.org/10.4319/lo.2012.57.5.1453" TargetMode="External" /><Relationship Type="http://schemas.openxmlformats.org/officeDocument/2006/relationships/hyperlink" Id="rId239"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14" Target="https://doi.org/doi:10.1046/j.1365-2427.1997.d01-539.x" TargetMode="External" /><Relationship Type="http://schemas.openxmlformats.org/officeDocument/2006/relationships/hyperlink" Id="rId187" Target="https://pubs.er.usgs.gov/publication/sir20075282" TargetMode="External" /><Relationship Type="http://schemas.openxmlformats.org/officeDocument/2006/relationships/hyperlink" Id="rId200" Target="https://www.canada.ca/content/dam/hc-sc/documents/programs/consultation-organic-matter-drinking-water/NOM20190129-eng.pdf" TargetMode="External" /><Relationship Type="http://schemas.openxmlformats.org/officeDocument/2006/relationships/hyperlink" Id="rId202" Target="https://www.canada.ca/content/dam/hc-sc/migration/hc-sc/ewh-semt/alt%7B\_%7Dformats/pdf/pubs/water-eau/sum%7B\_%7Dguide-res%7B\_%7Drecom/summary-table-August-15-2019-eng.pdf" TargetMode="External" /><Relationship Type="http://schemas.openxmlformats.org/officeDocument/2006/relationships/hyperlink" Id="rId204"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6" Target="https://www.healthlinkbc.ca/healthlinkbc-files/drinking-water-chlorination" TargetMode="External" /><Relationship Type="http://schemas.openxmlformats.org/officeDocument/2006/relationships/hyperlink" Id="rId232"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8" Target="https://www.jstor.org/stable/40058211" TargetMode="External" /><Relationship Type="http://schemas.openxmlformats.org/officeDocument/2006/relationships/hyperlink" Id="rId216"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2020-07-28T05:14:11Z</dcterms:created>
  <dcterms:modified xsi:type="dcterms:W3CDTF">2020-07-28T05:14:11Z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